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31" w:rsidRDefault="00BF0A31" w:rsidP="00BF0A31">
      <w:pPr>
        <w:jc w:val="center"/>
        <w:rPr>
          <w:b/>
          <w:szCs w:val="24"/>
        </w:rPr>
      </w:pPr>
      <w:r>
        <w:rPr>
          <w:b/>
          <w:szCs w:val="24"/>
        </w:rPr>
        <w:t>Муниципальное  общеобразовательное учреждение</w:t>
      </w:r>
    </w:p>
    <w:p w:rsidR="00BF0A31" w:rsidRDefault="00BF0A31" w:rsidP="00BF0A31">
      <w:pPr>
        <w:jc w:val="center"/>
        <w:rPr>
          <w:b/>
          <w:szCs w:val="24"/>
        </w:rPr>
      </w:pPr>
      <w:r>
        <w:rPr>
          <w:b/>
          <w:szCs w:val="24"/>
        </w:rPr>
        <w:t xml:space="preserve"> «</w:t>
      </w:r>
      <w:proofErr w:type="spellStart"/>
      <w:r>
        <w:rPr>
          <w:b/>
          <w:szCs w:val="24"/>
        </w:rPr>
        <w:t>Вышеславская</w:t>
      </w:r>
      <w:proofErr w:type="spellEnd"/>
      <w:r>
        <w:rPr>
          <w:b/>
          <w:szCs w:val="24"/>
        </w:rPr>
        <w:t xml:space="preserve"> основная школа»</w:t>
      </w:r>
    </w:p>
    <w:p w:rsidR="00BF0A31" w:rsidRDefault="00BF0A31" w:rsidP="00BF0A31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Гаврилов-Ямского</w:t>
      </w:r>
      <w:proofErr w:type="spellEnd"/>
      <w:proofErr w:type="gramEnd"/>
      <w:r>
        <w:rPr>
          <w:b/>
          <w:szCs w:val="24"/>
        </w:rPr>
        <w:t xml:space="preserve"> района Ярославской области</w:t>
      </w:r>
    </w:p>
    <w:p w:rsidR="005C0F4F" w:rsidRDefault="005C0F4F" w:rsidP="005C0F4F">
      <w:pPr>
        <w:pStyle w:val="Defaul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BF0A31" w:rsidTr="00BF0A31">
        <w:trPr>
          <w:jc w:val="right"/>
        </w:trPr>
        <w:tc>
          <w:tcPr>
            <w:tcW w:w="3936" w:type="dxa"/>
          </w:tcPr>
          <w:p w:rsidR="00BF0A31" w:rsidRPr="00BF0A31" w:rsidRDefault="00BF0A31" w:rsidP="00BF0A31">
            <w:pPr>
              <w:pStyle w:val="Default"/>
              <w:jc w:val="right"/>
              <w:rPr>
                <w:sz w:val="22"/>
                <w:szCs w:val="22"/>
              </w:rPr>
            </w:pPr>
            <w:r w:rsidRPr="00BF0A31">
              <w:rPr>
                <w:sz w:val="22"/>
                <w:szCs w:val="22"/>
              </w:rPr>
              <w:t>УТВЕРЖДАЮ</w:t>
            </w:r>
          </w:p>
        </w:tc>
      </w:tr>
      <w:tr w:rsidR="00BF0A31" w:rsidTr="00BF0A31">
        <w:trPr>
          <w:jc w:val="right"/>
        </w:trPr>
        <w:tc>
          <w:tcPr>
            <w:tcW w:w="3936" w:type="dxa"/>
          </w:tcPr>
          <w:p w:rsidR="00BF0A31" w:rsidRPr="00BF0A31" w:rsidRDefault="00BF0A31" w:rsidP="00BF0A31">
            <w:pPr>
              <w:pStyle w:val="Default"/>
              <w:jc w:val="right"/>
              <w:rPr>
                <w:sz w:val="22"/>
                <w:szCs w:val="22"/>
              </w:rPr>
            </w:pPr>
            <w:r w:rsidRPr="00BF0A31">
              <w:rPr>
                <w:sz w:val="22"/>
                <w:szCs w:val="22"/>
              </w:rPr>
              <w:t>Директор МОУ «</w:t>
            </w:r>
            <w:proofErr w:type="spellStart"/>
            <w:r w:rsidRPr="00BF0A31">
              <w:rPr>
                <w:sz w:val="22"/>
                <w:szCs w:val="22"/>
              </w:rPr>
              <w:t>Вышеславская</w:t>
            </w:r>
            <w:proofErr w:type="spellEnd"/>
            <w:r w:rsidRPr="00BF0A31">
              <w:rPr>
                <w:sz w:val="22"/>
                <w:szCs w:val="22"/>
              </w:rPr>
              <w:t xml:space="preserve"> ОШ»</w:t>
            </w:r>
          </w:p>
        </w:tc>
      </w:tr>
      <w:tr w:rsidR="00BF0A31" w:rsidTr="00BF0A31">
        <w:trPr>
          <w:jc w:val="right"/>
        </w:trPr>
        <w:tc>
          <w:tcPr>
            <w:tcW w:w="3936" w:type="dxa"/>
          </w:tcPr>
          <w:p w:rsidR="00BF0A31" w:rsidRPr="00BF0A31" w:rsidRDefault="00BF0A31" w:rsidP="00BF0A3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В.В.Груздева</w:t>
            </w:r>
          </w:p>
        </w:tc>
      </w:tr>
      <w:tr w:rsidR="00BF0A31" w:rsidTr="00BF0A31">
        <w:trPr>
          <w:jc w:val="right"/>
        </w:trPr>
        <w:tc>
          <w:tcPr>
            <w:tcW w:w="3936" w:type="dxa"/>
          </w:tcPr>
          <w:p w:rsidR="00BF0A31" w:rsidRPr="00BF0A31" w:rsidRDefault="00BF0A31" w:rsidP="00BF0A31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59-03 от 27.06.2017г.</w:t>
            </w:r>
          </w:p>
        </w:tc>
      </w:tr>
    </w:tbl>
    <w:p w:rsidR="00BF0A31" w:rsidRDefault="00BF0A31" w:rsidP="005C0F4F">
      <w:pPr>
        <w:pStyle w:val="Default"/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BF0A31">
        <w:rPr>
          <w:b/>
          <w:bCs/>
          <w:sz w:val="32"/>
          <w:szCs w:val="32"/>
        </w:rPr>
        <w:t>Вышеславская</w:t>
      </w:r>
      <w:proofErr w:type="spellEnd"/>
      <w:r w:rsidR="00BF0A31">
        <w:rPr>
          <w:b/>
          <w:bCs/>
          <w:sz w:val="32"/>
          <w:szCs w:val="32"/>
        </w:rPr>
        <w:t xml:space="preserve"> основная школа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BF0A31" w:rsidP="005C0F4F">
      <w:pPr>
        <w:pStyle w:val="Default"/>
        <w:jc w:val="center"/>
        <w:rPr>
          <w:rFonts w:ascii="Arial" w:hAnsi="Arial" w:cs="Arial"/>
        </w:rPr>
      </w:pPr>
      <w:proofErr w:type="spellStart"/>
      <w:r>
        <w:t>Д.Прошенино</w:t>
      </w:r>
      <w:proofErr w:type="spellEnd"/>
      <w:r w:rsidR="005C0F4F" w:rsidRPr="00F43323">
        <w:t>, 201</w:t>
      </w:r>
      <w:r w:rsidR="00F43323" w:rsidRPr="00F43323">
        <w:t>7</w:t>
      </w:r>
      <w:r w:rsidR="005C0F4F"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tbl>
      <w:tblPr>
        <w:tblStyle w:val="a3"/>
        <w:tblpPr w:leftFromText="180" w:rightFromText="180" w:vertAnchor="text" w:horzAnchor="margin" w:tblpY="7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371"/>
        <w:gridCol w:w="1134"/>
      </w:tblGrid>
      <w:tr w:rsidR="00BF0A31" w:rsidRPr="004058C0" w:rsidTr="004058C0">
        <w:tc>
          <w:tcPr>
            <w:tcW w:w="817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Принципы и условия обработки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Принципы обработки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Условия обработки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Конфиденциальность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Общедоступные источники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2.7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Поручение обработки персональных данных другому лицу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2.8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Трансграничная передача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Права субъекта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Согласие субъекта персональных данных на обработку его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Права субъекта персональных данных</w:t>
            </w:r>
          </w:p>
        </w:tc>
        <w:tc>
          <w:tcPr>
            <w:tcW w:w="1134" w:type="dxa"/>
          </w:tcPr>
          <w:p w:rsidR="00BF0A31" w:rsidRPr="004058C0" w:rsidRDefault="00BF0A31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Обеспечение безопасности персональных данных</w:t>
            </w:r>
          </w:p>
        </w:tc>
        <w:tc>
          <w:tcPr>
            <w:tcW w:w="1134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F0A31" w:rsidRPr="004058C0" w:rsidTr="004058C0">
        <w:tc>
          <w:tcPr>
            <w:tcW w:w="817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058C0">
              <w:rPr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1134" w:type="dxa"/>
          </w:tcPr>
          <w:p w:rsidR="00BF0A31" w:rsidRPr="004058C0" w:rsidRDefault="004058C0" w:rsidP="00BF0A31">
            <w:pPr>
              <w:widowControl w:val="0"/>
              <w:ind w:firstLine="0"/>
              <w:jc w:val="left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058C0">
              <w:rPr>
                <w:rFonts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</w:tbl>
    <w:p w:rsidR="005C0F4F" w:rsidRDefault="005C0F4F" w:rsidP="004058C0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4058C0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>Общие положения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4058C0">
        <w:rPr>
          <w:color w:val="auto"/>
        </w:rPr>
        <w:t>Вышеславская</w:t>
      </w:r>
      <w:proofErr w:type="spellEnd"/>
      <w:r w:rsidR="004058C0">
        <w:rPr>
          <w:color w:val="auto"/>
        </w:rPr>
        <w:t xml:space="preserve"> основная школа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4058C0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>Принципы и условия обработки персональных данных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4058C0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>Права субъекта персональных данных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4058C0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>Обеспечение безопасности персональных данных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4058C0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>Заключительные положения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27892">
      <w:foot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3B" w:rsidRDefault="0092483B" w:rsidP="00527892">
      <w:r>
        <w:separator/>
      </w:r>
    </w:p>
  </w:endnote>
  <w:endnote w:type="continuationSeparator" w:id="0">
    <w:p w:rsidR="0092483B" w:rsidRDefault="0092483B" w:rsidP="0052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3721"/>
      <w:docPartObj>
        <w:docPartGallery w:val="Page Numbers (Bottom of Page)"/>
        <w:docPartUnique/>
      </w:docPartObj>
    </w:sdtPr>
    <w:sdtContent>
      <w:p w:rsidR="00527892" w:rsidRDefault="00527892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527892" w:rsidRDefault="005278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3B" w:rsidRDefault="0092483B" w:rsidP="00527892">
      <w:r>
        <w:separator/>
      </w:r>
    </w:p>
  </w:footnote>
  <w:footnote w:type="continuationSeparator" w:id="0">
    <w:p w:rsidR="0092483B" w:rsidRDefault="0092483B" w:rsidP="00527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F4F"/>
    <w:rsid w:val="00196C64"/>
    <w:rsid w:val="0025011F"/>
    <w:rsid w:val="004058C0"/>
    <w:rsid w:val="00481F2C"/>
    <w:rsid w:val="004A1685"/>
    <w:rsid w:val="00527892"/>
    <w:rsid w:val="005A76D2"/>
    <w:rsid w:val="005C0F4F"/>
    <w:rsid w:val="00605E89"/>
    <w:rsid w:val="00687A8C"/>
    <w:rsid w:val="007D320F"/>
    <w:rsid w:val="007E6912"/>
    <w:rsid w:val="0092483B"/>
    <w:rsid w:val="00A43CD0"/>
    <w:rsid w:val="00BF0A31"/>
    <w:rsid w:val="00D20B38"/>
    <w:rsid w:val="00D36B79"/>
    <w:rsid w:val="00DA72E1"/>
    <w:rsid w:val="00E03D22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0A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7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892"/>
    <w:rPr>
      <w:rFonts w:ascii="Times New Roman" w:hAnsi="Times New Roman" w:cs="Calibri"/>
      <w:sz w:val="24"/>
      <w:lang w:eastAsia="ar-SA"/>
    </w:rPr>
  </w:style>
  <w:style w:type="paragraph" w:styleId="a6">
    <w:name w:val="footer"/>
    <w:basedOn w:val="a"/>
    <w:link w:val="a7"/>
    <w:uiPriority w:val="99"/>
    <w:unhideWhenUsed/>
    <w:rsid w:val="00527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7892"/>
    <w:rPr>
      <w:rFonts w:ascii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10</cp:revision>
  <dcterms:created xsi:type="dcterms:W3CDTF">2017-06-23T11:11:00Z</dcterms:created>
  <dcterms:modified xsi:type="dcterms:W3CDTF">2018-01-29T10:26:00Z</dcterms:modified>
</cp:coreProperties>
</file>